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3B73" w14:textId="1E2F42E2" w:rsidR="007A748C" w:rsidRDefault="007A748C" w:rsidP="007A748C">
      <w:pPr>
        <w:ind w:firstLine="0"/>
      </w:pPr>
      <w:r>
        <w:t>УДК 004.056.55</w:t>
      </w:r>
    </w:p>
    <w:p w14:paraId="1625928C" w14:textId="2E3BA21C" w:rsidR="00034748" w:rsidRDefault="00034748" w:rsidP="00034748">
      <w:pPr>
        <w:ind w:firstLine="0"/>
        <w:jc w:val="center"/>
        <w:rPr>
          <w:b/>
          <w:bCs/>
        </w:rPr>
      </w:pPr>
      <w:r w:rsidRPr="00034748">
        <w:rPr>
          <w:b/>
          <w:bCs/>
        </w:rPr>
        <w:t>ДОСЛІДЖЕННЯ СУЧАСНИХ АЛГОРИТМІВ МАЛОРЕСУРСНОЇ КРИПТОГРАФІЇ</w:t>
      </w:r>
    </w:p>
    <w:p w14:paraId="40C6E57D" w14:textId="68C2CC4D" w:rsidR="00F12503" w:rsidRDefault="00F12503" w:rsidP="00034748">
      <w:pPr>
        <w:ind w:firstLine="0"/>
        <w:jc w:val="center"/>
      </w:pPr>
      <w:r>
        <w:t>Орлова Г. В.</w:t>
      </w:r>
    </w:p>
    <w:p w14:paraId="142498D7" w14:textId="41659B0F" w:rsidR="004E26BA" w:rsidRDefault="004E26BA" w:rsidP="00034748">
      <w:pPr>
        <w:ind w:firstLine="0"/>
        <w:jc w:val="center"/>
        <w:rPr>
          <w:lang w:val="en-US"/>
        </w:rPr>
      </w:pPr>
      <w:r>
        <w:rPr>
          <w:lang w:val="en-US"/>
        </w:rPr>
        <w:t>E-mail: hanna.orlova@student.karazin.ua</w:t>
      </w:r>
    </w:p>
    <w:p w14:paraId="71FA7672" w14:textId="4D8467C3" w:rsidR="002E3AC8" w:rsidRPr="002E3AC8" w:rsidRDefault="002E3AC8" w:rsidP="00034748">
      <w:pPr>
        <w:ind w:firstLine="0"/>
        <w:jc w:val="center"/>
      </w:pPr>
      <w:r>
        <w:t>Науковий керівник – доц. Родінко М. Ю.</w:t>
      </w:r>
    </w:p>
    <w:p w14:paraId="26F05FB3" w14:textId="77777777" w:rsidR="00D50E44" w:rsidRDefault="006F19B6" w:rsidP="006F19B6">
      <w:pPr>
        <w:jc w:val="center"/>
      </w:pPr>
      <w:r>
        <w:t xml:space="preserve">Харківський національний університет імені В. Н. Каразіна, ННІ </w:t>
      </w:r>
      <w:r w:rsidR="0039738B" w:rsidRPr="0039738B">
        <w:t>“</w:t>
      </w:r>
      <w:r>
        <w:t>Комп’ютерних наук та штучного інтелекту</w:t>
      </w:r>
      <w:r w:rsidR="0039738B" w:rsidRPr="0039738B">
        <w:t>”</w:t>
      </w:r>
      <w:r>
        <w:t xml:space="preserve">, каф.кібербезпеки інформаційних систем, мереж і технологій, </w:t>
      </w:r>
    </w:p>
    <w:p w14:paraId="405769DB" w14:textId="0691EAFB" w:rsidR="00034748" w:rsidRDefault="006F19B6" w:rsidP="006F19B6">
      <w:pPr>
        <w:jc w:val="center"/>
      </w:pPr>
      <w:r>
        <w:t>м. Харків, Україна.</w:t>
      </w:r>
    </w:p>
    <w:p w14:paraId="44BF49E1" w14:textId="79820DF5" w:rsidR="0027147F" w:rsidRDefault="0027147F" w:rsidP="006F19B6">
      <w:pPr>
        <w:jc w:val="center"/>
      </w:pPr>
    </w:p>
    <w:p w14:paraId="2F8742B7" w14:textId="6F61938F" w:rsidR="007034B2" w:rsidRDefault="00CE33D9" w:rsidP="0027147F">
      <w:pPr>
        <w:jc w:val="both"/>
      </w:pPr>
      <w:r>
        <w:t xml:space="preserve">This study investigates modern lightweight cryptography algorithms tailored for resource-constrained environments, including mobile systems and the Internet of Things (IoT). By benchmarking the industry-standard AES-128 against leading lightweight alternatives </w:t>
      </w:r>
      <w:r w:rsidR="00071DFE">
        <w:t>-</w:t>
      </w:r>
      <w:r>
        <w:t xml:space="preserve"> ASCON-128, Simon, Speck, and PRESENT </w:t>
      </w:r>
      <w:r w:rsidR="00A1005D">
        <w:t>-</w:t>
      </w:r>
      <w:r>
        <w:t xml:space="preserve"> this research provides a comprehensive comparative analysis of their operational efficiency. Key evaluation metrics encompass computational throughput, energy consumption, and overall memory footprint. To ensure accurate performance profiling on general-purpose mobile processors, a dedicated C++ testing framework is utilized. Preliminary projections indicate that ASCON-128 will deliver superior energy efficiency for short-message encryption, whereas Speck is expected to achieve the highest processing speeds. Ultimately, the findings will yield actionable recommendations for optimizing the balance between robust data security and strict hardware limitations in next-generation smart devices.</w:t>
      </w:r>
    </w:p>
    <w:p w14:paraId="6960C8D0" w14:textId="77777777" w:rsidR="00CE33D9" w:rsidRDefault="00CE33D9" w:rsidP="0027147F">
      <w:pPr>
        <w:jc w:val="both"/>
      </w:pPr>
    </w:p>
    <w:p w14:paraId="59E82C7A" w14:textId="22F88681" w:rsidR="002D5FAA" w:rsidRDefault="002D5FAA" w:rsidP="003F3E65">
      <w:pPr>
        <w:jc w:val="both"/>
      </w:pPr>
      <w:r>
        <w:t>Сучасний етап розвитку інформаційних технологій характеризується стрімким зростанням сегмента Інтернету речей</w:t>
      </w:r>
      <w:r>
        <w:rPr>
          <w:lang w:val="ru-RU"/>
        </w:rPr>
        <w:t xml:space="preserve"> </w:t>
      </w:r>
      <w:r>
        <w:t>та мобільних систем. Забезпечення конфіденційності та цілісності даних у таких мережах є критично важливим завданням кібербезпеки. Водночас імплементація класичних криптографічних стандартів, таких як AES, у середовищі з обмеженими апаратними можливостями часто є неефективною через надмірні вимоги до обчислювальних ресурсів та енергоспоживання. З огляду на це, актуальним науковим завданням є дослідження алгоритмів малоресурсної криптографії, що забезпечують компроміс між криптостійкістю та апаратними витратами.</w:t>
      </w:r>
    </w:p>
    <w:p w14:paraId="4BB3603F" w14:textId="2AF025D5" w:rsidR="00414808" w:rsidRDefault="00414808" w:rsidP="003F3E65">
      <w:pPr>
        <w:jc w:val="both"/>
      </w:pPr>
      <w:r w:rsidRPr="00414808">
        <w:t>Метою роботи є проведення порівняльного аналізу сучасних алгоритмів малоресурсної криптографії та класичного стандарту AES-128 для визначення найбільш ефективного рішення з точки зору швидкодії та енергоефективності на мобільних платформах.</w:t>
      </w:r>
    </w:p>
    <w:p w14:paraId="6D2AC3CC" w14:textId="00A5F934" w:rsidR="004F0260" w:rsidRPr="004F0260" w:rsidRDefault="004F0260" w:rsidP="004F0260">
      <w:r w:rsidRPr="004F0260">
        <w:t xml:space="preserve">У ході теоретичного аналізу </w:t>
      </w:r>
      <w:r w:rsidR="00CE0100">
        <w:t xml:space="preserve">досліджено </w:t>
      </w:r>
      <w:r w:rsidRPr="004F0260">
        <w:t>архітектуру ключових алгоритмів:</w:t>
      </w:r>
    </w:p>
    <w:p w14:paraId="1CA650BD" w14:textId="289789D4" w:rsidR="004F0260" w:rsidRPr="004F0260" w:rsidRDefault="004F0260" w:rsidP="004F0260">
      <w:pPr>
        <w:pStyle w:val="a4"/>
        <w:numPr>
          <w:ilvl w:val="0"/>
          <w:numId w:val="3"/>
        </w:numPr>
      </w:pPr>
      <w:r w:rsidRPr="004F0260">
        <w:t>AES-128 – базовий стандарт симетричного шифрування, еталонна модель.</w:t>
      </w:r>
    </w:p>
    <w:p w14:paraId="33741E3B" w14:textId="77777777" w:rsidR="004F0260" w:rsidRPr="004F0260" w:rsidRDefault="004F0260" w:rsidP="004F0260">
      <w:pPr>
        <w:pStyle w:val="a4"/>
        <w:numPr>
          <w:ilvl w:val="0"/>
          <w:numId w:val="3"/>
        </w:numPr>
      </w:pPr>
      <w:r w:rsidRPr="004F0260">
        <w:lastRenderedPageBreak/>
        <w:t>ASCON-128 – новітній стандарт малоресурсної криптографії, затверджений Національним інститутом стандартів і технологій США (NIST).</w:t>
      </w:r>
    </w:p>
    <w:p w14:paraId="08B8806C" w14:textId="77777777" w:rsidR="004F0260" w:rsidRPr="004F0260" w:rsidRDefault="004F0260" w:rsidP="004F0260">
      <w:pPr>
        <w:pStyle w:val="a4"/>
        <w:numPr>
          <w:ilvl w:val="0"/>
          <w:numId w:val="3"/>
        </w:numPr>
      </w:pPr>
      <w:r w:rsidRPr="004F0260">
        <w:t>Simon та Speck – сімейство блочних шифрів, розроблених Агентством національної безпеки (АНБ) США, оптимізованих для апаратної та програмної реалізації відповідно.</w:t>
      </w:r>
    </w:p>
    <w:p w14:paraId="2923718C" w14:textId="5DE8FEF9" w:rsidR="004F0260" w:rsidRDefault="004F0260" w:rsidP="004F0260">
      <w:pPr>
        <w:pStyle w:val="a4"/>
        <w:numPr>
          <w:ilvl w:val="0"/>
          <w:numId w:val="3"/>
        </w:numPr>
      </w:pPr>
      <w:r w:rsidRPr="004F0260">
        <w:t>PRESENT – стандартизований (ISO/IEC 29192) ультралегкий блочний шифр, орієнтований на мінімізацію апаратних витрат.</w:t>
      </w:r>
    </w:p>
    <w:p w14:paraId="4E8A9190" w14:textId="34FF2BDD" w:rsidR="00522739" w:rsidRDefault="00522739" w:rsidP="00522739">
      <w:pPr>
        <w:pStyle w:val="a4"/>
        <w:ind w:firstLine="0"/>
      </w:pPr>
    </w:p>
    <w:p w14:paraId="3C427C00" w14:textId="522556C2" w:rsidR="00522739" w:rsidRDefault="00522739" w:rsidP="00522739">
      <w:r w:rsidRPr="00522739">
        <w:t>Для математичного опису ефективності криптографічних перетворень та оцінки швидкодії використовується показник пропускної здатності (Throughput), який обчислюється за формулою:</w:t>
      </w:r>
    </w:p>
    <w:p w14:paraId="7D7E2CEF" w14:textId="74C5CA49" w:rsidR="00522739" w:rsidRPr="00522739" w:rsidRDefault="00522739" w:rsidP="00522739">
      <w:pPr>
        <w:jc w:val="center"/>
        <w:rPr>
          <w:rFonts w:eastAsiaTheme="minorEastAsia"/>
          <w:i/>
        </w:rPr>
      </w:pPr>
      <m:oMath>
        <m:r>
          <w:rPr>
            <w:rFonts w:ascii="Cambria Math" w:hAnsi="Cambria Math"/>
          </w:rPr>
          <m:t>Th=</m:t>
        </m:r>
        <m:f>
          <m:fPr>
            <m:ctrlPr>
              <w:rPr>
                <w:rFonts w:ascii="Cambria Math" w:hAnsi="Cambria Math"/>
                <w:i/>
              </w:rPr>
            </m:ctrlPr>
          </m:fPr>
          <m:num>
            <m:r>
              <w:rPr>
                <w:rFonts w:ascii="Cambria Math" w:hAnsi="Cambria Math"/>
              </w:rPr>
              <m:t>L*f</m:t>
            </m:r>
          </m:num>
          <m:den>
            <m:r>
              <w:rPr>
                <w:rFonts w:ascii="Cambria Math" w:hAnsi="Cambria Math"/>
              </w:rPr>
              <m:t>N</m:t>
            </m:r>
          </m:den>
        </m:f>
      </m:oMath>
      <w:r w:rsidR="002D6CBD">
        <w:rPr>
          <w:rFonts w:eastAsiaTheme="minorEastAsia"/>
          <w:i/>
        </w:rPr>
        <w:t>,</w:t>
      </w:r>
    </w:p>
    <w:p w14:paraId="29EEC57C" w14:textId="4C9F82FC" w:rsidR="007935FF" w:rsidRDefault="00987F83" w:rsidP="00C31368">
      <w:pPr>
        <w:jc w:val="both"/>
      </w:pPr>
      <w:r>
        <w:t>д</w:t>
      </w:r>
      <w:r w:rsidR="007935FF" w:rsidRPr="007935FF">
        <w:t>е Th – пропускна здатність алгоритму (біт/с); L – довжина блоку відкритого тексту (біт); f – тактова частота процесора (Гц); N – кількість тактів, необхідних для шифрування одного блоку.</w:t>
      </w:r>
      <w:r w:rsidR="00ED6CFC">
        <w:t xml:space="preserve"> </w:t>
      </w:r>
    </w:p>
    <w:p w14:paraId="62473A20" w14:textId="2A4289AB" w:rsidR="00F90834" w:rsidRDefault="00F90834" w:rsidP="00F90834">
      <w:pPr>
        <w:jc w:val="both"/>
      </w:pPr>
      <w:r w:rsidRPr="00F90834">
        <w:t>Для попередньої оцінки швидкодії на цільовій малоресурсній платформі (процесор архітектури ARM з максимальною тактовою частотою продуктивних ядер f</w:t>
      </w:r>
      <w:r>
        <w:t xml:space="preserve"> </w:t>
      </w:r>
      <w:r w:rsidRPr="00F90834">
        <w:t>=</w:t>
      </w:r>
      <w:r>
        <w:t xml:space="preserve"> </w:t>
      </w:r>
      <w:r w:rsidRPr="00F90834">
        <w:t>2.75 ГГц) використано усереднені теоретичні еталонні показники продуктивності у кількості тактів на байт. Кількість тактів, необхідних для шифрування одного блоку, обчислюється як</w:t>
      </w:r>
      <w:r>
        <w:t>:</w:t>
      </w:r>
      <w:r w:rsidRPr="00F90834">
        <w:t xml:space="preserve"> </w:t>
      </w:r>
    </w:p>
    <w:p w14:paraId="1703080A" w14:textId="7B9FEBF6" w:rsidR="00F90834" w:rsidRPr="002D6CBD" w:rsidRDefault="00F90834" w:rsidP="002D6CBD">
      <w:pPr>
        <w:jc w:val="center"/>
        <w:rPr>
          <w:rFonts w:eastAsiaTheme="minorEastAsia"/>
          <w:iCs/>
        </w:rPr>
      </w:pPr>
      <m:oMath>
        <m:r>
          <w:rPr>
            <w:rFonts w:ascii="Cambria Math" w:hAnsi="Cambria Math"/>
          </w:rPr>
          <m:t>N=cpb*</m:t>
        </m:r>
        <m:f>
          <m:fPr>
            <m:ctrlPr>
              <w:rPr>
                <w:rFonts w:ascii="Cambria Math" w:hAnsi="Cambria Math"/>
                <w:i/>
              </w:rPr>
            </m:ctrlPr>
          </m:fPr>
          <m:num>
            <m:r>
              <w:rPr>
                <w:rFonts w:ascii="Cambria Math" w:hAnsi="Cambria Math"/>
              </w:rPr>
              <m:t>L</m:t>
            </m:r>
          </m:num>
          <m:den>
            <m:r>
              <w:rPr>
                <w:rFonts w:ascii="Cambria Math" w:hAnsi="Cambria Math"/>
              </w:rPr>
              <m:t>8</m:t>
            </m:r>
          </m:den>
        </m:f>
      </m:oMath>
      <w:r w:rsidR="002D6CBD" w:rsidRPr="002D6CBD">
        <w:rPr>
          <w:rFonts w:eastAsiaTheme="minorEastAsia"/>
        </w:rPr>
        <w:t>,</w:t>
      </w:r>
    </w:p>
    <w:p w14:paraId="67A3E635" w14:textId="11C8E48A" w:rsidR="007977D9" w:rsidRPr="00200D7A" w:rsidRDefault="002D6CBD" w:rsidP="007977D9">
      <w:pPr>
        <w:ind w:left="567" w:firstLine="0"/>
        <w:rPr>
          <w:lang w:val="ru-RU"/>
        </w:rPr>
      </w:pPr>
      <w:r>
        <w:t>д</w:t>
      </w:r>
      <w:r w:rsidR="00774E29">
        <w:t xml:space="preserve">е </w:t>
      </w:r>
      <w:r w:rsidR="00774E29">
        <w:rPr>
          <w:lang w:val="en-US"/>
        </w:rPr>
        <w:t>cpb</w:t>
      </w:r>
      <w:r w:rsidR="00774E29" w:rsidRPr="00774E29">
        <w:rPr>
          <w:lang w:val="ru-RU"/>
        </w:rPr>
        <w:t xml:space="preserve"> - </w:t>
      </w:r>
      <w:r w:rsidR="00200D7A">
        <w:t>кількість тактів процесора, що витрачається на обробку одного байта даних</w:t>
      </w:r>
      <w:r w:rsidR="00200D7A">
        <w:rPr>
          <w:lang w:val="ru-RU"/>
        </w:rPr>
        <w:t>.</w:t>
      </w:r>
    </w:p>
    <w:p w14:paraId="4D478954" w14:textId="39645B28" w:rsidR="00F90834" w:rsidRDefault="00F90834" w:rsidP="00F90834">
      <w:pPr>
        <w:jc w:val="both"/>
      </w:pPr>
      <w:r w:rsidRPr="00F90834">
        <w:t xml:space="preserve"> Результати розрахунку пропускної здатності досліджуваних алгоритмів наведено у таблиці 1.</w:t>
      </w:r>
    </w:p>
    <w:p w14:paraId="69339C5D" w14:textId="5DF8B30F" w:rsidR="004E0ABB" w:rsidRDefault="0057262D" w:rsidP="0057262D">
      <w:pPr>
        <w:jc w:val="both"/>
        <w:rPr>
          <w:lang w:val="ru-RU"/>
        </w:rPr>
      </w:pPr>
      <w:r>
        <w:t>Таблиця 1</w:t>
      </w:r>
      <w:r w:rsidRPr="00522C53">
        <w:rPr>
          <w:lang w:val="ru-RU"/>
        </w:rPr>
        <w:t xml:space="preserve"> -</w:t>
      </w:r>
      <w:r>
        <w:t xml:space="preserve"> Теоретична оцінка пропускної здатності криптографічних алгоритмів на архітектурі </w:t>
      </w:r>
      <w:r>
        <w:rPr>
          <w:lang w:val="en-US"/>
        </w:rPr>
        <w:t>ARM</w:t>
      </w:r>
      <w:r w:rsidRPr="00F51633">
        <w:rPr>
          <w:lang w:val="ru-RU"/>
        </w:rPr>
        <w:t>.</w:t>
      </w:r>
    </w:p>
    <w:p w14:paraId="28FA32D6" w14:textId="77777777" w:rsidR="00EF305B" w:rsidRPr="0057262D" w:rsidRDefault="00EF305B" w:rsidP="0057262D">
      <w:pPr>
        <w:jc w:val="both"/>
        <w:rPr>
          <w:lang w:val="ru-RU"/>
        </w:rPr>
      </w:pPr>
    </w:p>
    <w:tbl>
      <w:tblPr>
        <w:tblStyle w:val="ab"/>
        <w:tblW w:w="0" w:type="auto"/>
        <w:tblLook w:val="04A0" w:firstRow="1" w:lastRow="0" w:firstColumn="1" w:lastColumn="0" w:noHBand="0" w:noVBand="1"/>
      </w:tblPr>
      <w:tblGrid>
        <w:gridCol w:w="1732"/>
        <w:gridCol w:w="1658"/>
        <w:gridCol w:w="2194"/>
        <w:gridCol w:w="1720"/>
        <w:gridCol w:w="1756"/>
      </w:tblGrid>
      <w:tr w:rsidR="00544C46" w14:paraId="693552FD" w14:textId="77777777" w:rsidTr="00544C46">
        <w:tc>
          <w:tcPr>
            <w:tcW w:w="1812" w:type="dxa"/>
          </w:tcPr>
          <w:p w14:paraId="3B7DA1AA" w14:textId="15F11046" w:rsidR="00544C46" w:rsidRDefault="00544C46" w:rsidP="00F90834">
            <w:pPr>
              <w:ind w:firstLine="0"/>
              <w:jc w:val="both"/>
            </w:pPr>
            <w:r>
              <w:t>Алгоритм</w:t>
            </w:r>
          </w:p>
        </w:tc>
        <w:tc>
          <w:tcPr>
            <w:tcW w:w="1812" w:type="dxa"/>
          </w:tcPr>
          <w:p w14:paraId="5DAFCBCD" w14:textId="1A9B1BDD" w:rsidR="00544C46" w:rsidRPr="00DC3270" w:rsidRDefault="00544C46" w:rsidP="00F90834">
            <w:pPr>
              <w:ind w:firstLine="0"/>
              <w:jc w:val="both"/>
            </w:pPr>
            <w:r>
              <w:t>Розмір блоку</w:t>
            </w:r>
            <w:r w:rsidR="00DC3270">
              <w:rPr>
                <w:lang w:val="en-US"/>
              </w:rPr>
              <w:t>, L (</w:t>
            </w:r>
            <w:r w:rsidR="00DC3270">
              <w:t>біт)</w:t>
            </w:r>
          </w:p>
        </w:tc>
        <w:tc>
          <w:tcPr>
            <w:tcW w:w="1812" w:type="dxa"/>
          </w:tcPr>
          <w:p w14:paraId="3C2A5788" w14:textId="548C25A9" w:rsidR="00544C46" w:rsidRPr="00DC3270" w:rsidRDefault="00544C46" w:rsidP="00F90834">
            <w:pPr>
              <w:ind w:firstLine="0"/>
              <w:jc w:val="both"/>
            </w:pPr>
            <w:r>
              <w:t>Продуктивність</w:t>
            </w:r>
            <w:r w:rsidR="00DC3270">
              <w:rPr>
                <w:lang w:val="en-US"/>
              </w:rPr>
              <w:t>,</w:t>
            </w:r>
            <w:r w:rsidR="00C22634">
              <w:t xml:space="preserve"> </w:t>
            </w:r>
            <w:r w:rsidR="00DC3270">
              <w:rPr>
                <w:lang w:val="en-US"/>
              </w:rPr>
              <w:t>cpb (</w:t>
            </w:r>
            <w:r w:rsidR="00DC3270">
              <w:t>такт/байт)</w:t>
            </w:r>
          </w:p>
        </w:tc>
        <w:tc>
          <w:tcPr>
            <w:tcW w:w="1812" w:type="dxa"/>
          </w:tcPr>
          <w:p w14:paraId="3F6CD100" w14:textId="1492BF12" w:rsidR="00544C46" w:rsidRPr="00C22634" w:rsidRDefault="00544C46" w:rsidP="00F90834">
            <w:pPr>
              <w:ind w:firstLine="0"/>
              <w:jc w:val="both"/>
            </w:pPr>
            <w:r>
              <w:t>Кількість тактів</w:t>
            </w:r>
            <w:r w:rsidR="00C22634">
              <w:rPr>
                <w:lang w:val="en-US"/>
              </w:rPr>
              <w:t>, N (</w:t>
            </w:r>
            <w:r w:rsidR="00C22634">
              <w:t>такт)</w:t>
            </w:r>
          </w:p>
        </w:tc>
        <w:tc>
          <w:tcPr>
            <w:tcW w:w="1812" w:type="dxa"/>
          </w:tcPr>
          <w:p w14:paraId="4C9AC99C" w14:textId="350799BD" w:rsidR="00544C46" w:rsidRPr="00C22634" w:rsidRDefault="00544C46" w:rsidP="00F90834">
            <w:pPr>
              <w:ind w:firstLine="0"/>
              <w:jc w:val="both"/>
            </w:pPr>
            <w:r>
              <w:t>Пропускна здатність</w:t>
            </w:r>
            <w:r w:rsidR="00C22634" w:rsidRPr="00C22634">
              <w:rPr>
                <w:lang w:val="ru-RU"/>
              </w:rPr>
              <w:t xml:space="preserve">, </w:t>
            </w:r>
            <w:r w:rsidR="00C22634">
              <w:rPr>
                <w:lang w:val="en-US"/>
              </w:rPr>
              <w:t>Th</w:t>
            </w:r>
            <w:r w:rsidR="00C22634" w:rsidRPr="00C22634">
              <w:rPr>
                <w:lang w:val="ru-RU"/>
              </w:rPr>
              <w:t xml:space="preserve"> (</w:t>
            </w:r>
            <w:r w:rsidR="00C22634">
              <w:t>Гбіт/с)</w:t>
            </w:r>
          </w:p>
        </w:tc>
      </w:tr>
      <w:tr w:rsidR="00544C46" w14:paraId="19C2D433" w14:textId="77777777" w:rsidTr="00544C46">
        <w:tc>
          <w:tcPr>
            <w:tcW w:w="1812" w:type="dxa"/>
          </w:tcPr>
          <w:p w14:paraId="3DBDB4A3" w14:textId="7968F50B" w:rsidR="00544C46" w:rsidRPr="00E22F0F" w:rsidRDefault="00E22F0F" w:rsidP="00F90834">
            <w:pPr>
              <w:ind w:firstLine="0"/>
              <w:jc w:val="both"/>
              <w:rPr>
                <w:lang w:val="en-US"/>
              </w:rPr>
            </w:pPr>
            <w:r>
              <w:rPr>
                <w:lang w:val="en-US"/>
              </w:rPr>
              <w:t>AES-128</w:t>
            </w:r>
          </w:p>
        </w:tc>
        <w:tc>
          <w:tcPr>
            <w:tcW w:w="1812" w:type="dxa"/>
          </w:tcPr>
          <w:p w14:paraId="31C7AD4E" w14:textId="591F80F0" w:rsidR="00544C46" w:rsidRDefault="00BA5D7A" w:rsidP="00F90834">
            <w:pPr>
              <w:ind w:firstLine="0"/>
              <w:jc w:val="both"/>
            </w:pPr>
            <w:r>
              <w:t>128</w:t>
            </w:r>
          </w:p>
        </w:tc>
        <w:tc>
          <w:tcPr>
            <w:tcW w:w="1812" w:type="dxa"/>
          </w:tcPr>
          <w:p w14:paraId="545045E1" w14:textId="66C3D96C" w:rsidR="00544C46" w:rsidRPr="00BA5D7A" w:rsidRDefault="00BA5D7A" w:rsidP="00F90834">
            <w:pPr>
              <w:ind w:firstLine="0"/>
              <w:jc w:val="both"/>
              <w:rPr>
                <w:lang w:val="en-US"/>
              </w:rPr>
            </w:pPr>
            <w:r>
              <w:rPr>
                <w:lang w:val="en-US"/>
              </w:rPr>
              <w:t>~10</w:t>
            </w:r>
          </w:p>
        </w:tc>
        <w:tc>
          <w:tcPr>
            <w:tcW w:w="1812" w:type="dxa"/>
          </w:tcPr>
          <w:p w14:paraId="26959996" w14:textId="3BB7EC81" w:rsidR="00544C46" w:rsidRPr="00BA5D7A" w:rsidRDefault="00BA5D7A" w:rsidP="00F90834">
            <w:pPr>
              <w:ind w:firstLine="0"/>
              <w:jc w:val="both"/>
              <w:rPr>
                <w:lang w:val="en-US"/>
              </w:rPr>
            </w:pPr>
            <w:r>
              <w:rPr>
                <w:lang w:val="en-US"/>
              </w:rPr>
              <w:t>160</w:t>
            </w:r>
          </w:p>
        </w:tc>
        <w:tc>
          <w:tcPr>
            <w:tcW w:w="1812" w:type="dxa"/>
          </w:tcPr>
          <w:p w14:paraId="5431E8F5" w14:textId="2C6A409A" w:rsidR="00544C46" w:rsidRPr="00BA5D7A" w:rsidRDefault="00BA5D7A" w:rsidP="00F90834">
            <w:pPr>
              <w:ind w:firstLine="0"/>
              <w:jc w:val="both"/>
              <w:rPr>
                <w:lang w:val="en-US"/>
              </w:rPr>
            </w:pPr>
            <w:r>
              <w:rPr>
                <w:lang w:val="en-US"/>
              </w:rPr>
              <w:t>2.20</w:t>
            </w:r>
          </w:p>
        </w:tc>
      </w:tr>
      <w:tr w:rsidR="00544C46" w14:paraId="793B2BC3" w14:textId="77777777" w:rsidTr="00544C46">
        <w:tc>
          <w:tcPr>
            <w:tcW w:w="1812" w:type="dxa"/>
          </w:tcPr>
          <w:p w14:paraId="62537028" w14:textId="724118FE" w:rsidR="00E22F0F" w:rsidRPr="00E22F0F" w:rsidRDefault="00E22F0F" w:rsidP="00F90834">
            <w:pPr>
              <w:ind w:firstLine="0"/>
              <w:jc w:val="both"/>
              <w:rPr>
                <w:lang w:val="en-US"/>
              </w:rPr>
            </w:pPr>
            <w:r>
              <w:rPr>
                <w:lang w:val="en-US"/>
              </w:rPr>
              <w:t>ASCON-128</w:t>
            </w:r>
          </w:p>
        </w:tc>
        <w:tc>
          <w:tcPr>
            <w:tcW w:w="1812" w:type="dxa"/>
          </w:tcPr>
          <w:p w14:paraId="3602A13F" w14:textId="76CBE28C" w:rsidR="00544C46" w:rsidRDefault="00BA5D7A" w:rsidP="00F90834">
            <w:pPr>
              <w:ind w:firstLine="0"/>
              <w:jc w:val="both"/>
            </w:pPr>
            <w:r>
              <w:t>64</w:t>
            </w:r>
          </w:p>
        </w:tc>
        <w:tc>
          <w:tcPr>
            <w:tcW w:w="1812" w:type="dxa"/>
          </w:tcPr>
          <w:p w14:paraId="1DF0CB40" w14:textId="7364DFA1" w:rsidR="00544C46" w:rsidRPr="00BA5D7A" w:rsidRDefault="00BA5D7A" w:rsidP="00F90834">
            <w:pPr>
              <w:ind w:firstLine="0"/>
              <w:jc w:val="both"/>
              <w:rPr>
                <w:lang w:val="en-US"/>
              </w:rPr>
            </w:pPr>
            <w:r>
              <w:rPr>
                <w:lang w:val="en-US"/>
              </w:rPr>
              <w:t>~8</w:t>
            </w:r>
          </w:p>
        </w:tc>
        <w:tc>
          <w:tcPr>
            <w:tcW w:w="1812" w:type="dxa"/>
          </w:tcPr>
          <w:p w14:paraId="39B2162A" w14:textId="4BB96E74" w:rsidR="00544C46" w:rsidRPr="00BA5D7A" w:rsidRDefault="00BA5D7A" w:rsidP="00F90834">
            <w:pPr>
              <w:ind w:firstLine="0"/>
              <w:jc w:val="both"/>
              <w:rPr>
                <w:lang w:val="en-US"/>
              </w:rPr>
            </w:pPr>
            <w:r>
              <w:rPr>
                <w:lang w:val="en-US"/>
              </w:rPr>
              <w:t>64</w:t>
            </w:r>
          </w:p>
        </w:tc>
        <w:tc>
          <w:tcPr>
            <w:tcW w:w="1812" w:type="dxa"/>
          </w:tcPr>
          <w:p w14:paraId="000920C7" w14:textId="49113EB3" w:rsidR="00544C46" w:rsidRPr="00BA5D7A" w:rsidRDefault="00BA5D7A" w:rsidP="00F90834">
            <w:pPr>
              <w:ind w:firstLine="0"/>
              <w:jc w:val="both"/>
              <w:rPr>
                <w:lang w:val="en-US"/>
              </w:rPr>
            </w:pPr>
            <w:r>
              <w:rPr>
                <w:lang w:val="en-US"/>
              </w:rPr>
              <w:t>2.75</w:t>
            </w:r>
          </w:p>
        </w:tc>
      </w:tr>
      <w:tr w:rsidR="00544C46" w14:paraId="6A05F0F0" w14:textId="77777777" w:rsidTr="00544C46">
        <w:tc>
          <w:tcPr>
            <w:tcW w:w="1812" w:type="dxa"/>
          </w:tcPr>
          <w:p w14:paraId="6E0ABDE4" w14:textId="11BC61D9" w:rsidR="00544C46" w:rsidRPr="00BA5D7A" w:rsidRDefault="00BA5D7A" w:rsidP="00F90834">
            <w:pPr>
              <w:ind w:firstLine="0"/>
              <w:jc w:val="both"/>
              <w:rPr>
                <w:lang w:val="en-US"/>
              </w:rPr>
            </w:pPr>
            <w:r>
              <w:rPr>
                <w:lang w:val="en-US"/>
              </w:rPr>
              <w:t>Speck</w:t>
            </w:r>
          </w:p>
        </w:tc>
        <w:tc>
          <w:tcPr>
            <w:tcW w:w="1812" w:type="dxa"/>
          </w:tcPr>
          <w:p w14:paraId="2D23CA97" w14:textId="23EAA423" w:rsidR="00544C46" w:rsidRDefault="00BA5D7A" w:rsidP="00F90834">
            <w:pPr>
              <w:ind w:firstLine="0"/>
              <w:jc w:val="both"/>
            </w:pPr>
            <w:r>
              <w:t>128</w:t>
            </w:r>
          </w:p>
        </w:tc>
        <w:tc>
          <w:tcPr>
            <w:tcW w:w="1812" w:type="dxa"/>
          </w:tcPr>
          <w:p w14:paraId="511FD8F3" w14:textId="6DBE8B9C" w:rsidR="00544C46" w:rsidRPr="00BA5D7A" w:rsidRDefault="00BA5D7A" w:rsidP="00F90834">
            <w:pPr>
              <w:ind w:firstLine="0"/>
              <w:jc w:val="both"/>
              <w:rPr>
                <w:lang w:val="en-US"/>
              </w:rPr>
            </w:pPr>
            <w:r>
              <w:rPr>
                <w:lang w:val="en-US"/>
              </w:rPr>
              <w:t>~3</w:t>
            </w:r>
          </w:p>
        </w:tc>
        <w:tc>
          <w:tcPr>
            <w:tcW w:w="1812" w:type="dxa"/>
          </w:tcPr>
          <w:p w14:paraId="4DD2B0CD" w14:textId="5C0D6877" w:rsidR="00544C46" w:rsidRPr="00BA5D7A" w:rsidRDefault="00BA5D7A" w:rsidP="00F90834">
            <w:pPr>
              <w:ind w:firstLine="0"/>
              <w:jc w:val="both"/>
              <w:rPr>
                <w:lang w:val="en-US"/>
              </w:rPr>
            </w:pPr>
            <w:r>
              <w:rPr>
                <w:lang w:val="en-US"/>
              </w:rPr>
              <w:t>48</w:t>
            </w:r>
          </w:p>
        </w:tc>
        <w:tc>
          <w:tcPr>
            <w:tcW w:w="1812" w:type="dxa"/>
          </w:tcPr>
          <w:p w14:paraId="26D5901A" w14:textId="31632B8F" w:rsidR="00544C46" w:rsidRPr="00BA5D7A" w:rsidRDefault="00BA5D7A" w:rsidP="00F90834">
            <w:pPr>
              <w:ind w:firstLine="0"/>
              <w:jc w:val="both"/>
              <w:rPr>
                <w:lang w:val="en-US"/>
              </w:rPr>
            </w:pPr>
            <w:r>
              <w:rPr>
                <w:lang w:val="en-US"/>
              </w:rPr>
              <w:t>7.33</w:t>
            </w:r>
          </w:p>
        </w:tc>
      </w:tr>
      <w:tr w:rsidR="00544C46" w14:paraId="1C93D4BF" w14:textId="77777777" w:rsidTr="00544C46">
        <w:tc>
          <w:tcPr>
            <w:tcW w:w="1812" w:type="dxa"/>
          </w:tcPr>
          <w:p w14:paraId="00F90993" w14:textId="4C201F62" w:rsidR="00544C46" w:rsidRPr="00BA5D7A" w:rsidRDefault="00BA5D7A" w:rsidP="00F90834">
            <w:pPr>
              <w:ind w:firstLine="0"/>
              <w:jc w:val="both"/>
            </w:pPr>
            <w:r>
              <w:rPr>
                <w:lang w:val="en-US"/>
              </w:rPr>
              <w:t>Present</w:t>
            </w:r>
          </w:p>
        </w:tc>
        <w:tc>
          <w:tcPr>
            <w:tcW w:w="1812" w:type="dxa"/>
          </w:tcPr>
          <w:p w14:paraId="6CF0EC78" w14:textId="6893EC47" w:rsidR="00544C46" w:rsidRDefault="00BA5D7A" w:rsidP="00F90834">
            <w:pPr>
              <w:ind w:firstLine="0"/>
              <w:jc w:val="both"/>
            </w:pPr>
            <w:r>
              <w:t>64</w:t>
            </w:r>
          </w:p>
        </w:tc>
        <w:tc>
          <w:tcPr>
            <w:tcW w:w="1812" w:type="dxa"/>
          </w:tcPr>
          <w:p w14:paraId="71ACADE7" w14:textId="03A7448D" w:rsidR="00544C46" w:rsidRPr="00BA5D7A" w:rsidRDefault="00BA5D7A" w:rsidP="00F90834">
            <w:pPr>
              <w:ind w:firstLine="0"/>
              <w:jc w:val="both"/>
              <w:rPr>
                <w:lang w:val="en-US"/>
              </w:rPr>
            </w:pPr>
            <w:r>
              <w:rPr>
                <w:lang w:val="en-US"/>
              </w:rPr>
              <w:t>~40</w:t>
            </w:r>
          </w:p>
        </w:tc>
        <w:tc>
          <w:tcPr>
            <w:tcW w:w="1812" w:type="dxa"/>
          </w:tcPr>
          <w:p w14:paraId="08987B78" w14:textId="3886F815" w:rsidR="00544C46" w:rsidRPr="00BA5D7A" w:rsidRDefault="00BA5D7A" w:rsidP="00F90834">
            <w:pPr>
              <w:ind w:firstLine="0"/>
              <w:jc w:val="both"/>
              <w:rPr>
                <w:lang w:val="en-US"/>
              </w:rPr>
            </w:pPr>
            <w:r>
              <w:rPr>
                <w:lang w:val="en-US"/>
              </w:rPr>
              <w:t>320</w:t>
            </w:r>
          </w:p>
        </w:tc>
        <w:tc>
          <w:tcPr>
            <w:tcW w:w="1812" w:type="dxa"/>
          </w:tcPr>
          <w:p w14:paraId="5CC56A82" w14:textId="362F4301" w:rsidR="00544C46" w:rsidRPr="00BA5D7A" w:rsidRDefault="00BA5D7A" w:rsidP="00F90834">
            <w:pPr>
              <w:ind w:firstLine="0"/>
              <w:jc w:val="both"/>
              <w:rPr>
                <w:lang w:val="en-US"/>
              </w:rPr>
            </w:pPr>
            <w:r>
              <w:rPr>
                <w:lang w:val="en-US"/>
              </w:rPr>
              <w:t>0.55</w:t>
            </w:r>
          </w:p>
        </w:tc>
      </w:tr>
      <w:tr w:rsidR="00D45C36" w14:paraId="0E8B106D" w14:textId="77777777" w:rsidTr="00544C46">
        <w:tc>
          <w:tcPr>
            <w:tcW w:w="1812" w:type="dxa"/>
          </w:tcPr>
          <w:p w14:paraId="3313AFC6" w14:textId="522DE3AA" w:rsidR="00D45C36" w:rsidRDefault="00D45C36" w:rsidP="00F90834">
            <w:pPr>
              <w:ind w:firstLine="0"/>
              <w:jc w:val="both"/>
              <w:rPr>
                <w:lang w:val="en-US"/>
              </w:rPr>
            </w:pPr>
            <w:r>
              <w:rPr>
                <w:lang w:val="en-US"/>
              </w:rPr>
              <w:t>Simon</w:t>
            </w:r>
          </w:p>
        </w:tc>
        <w:tc>
          <w:tcPr>
            <w:tcW w:w="1812" w:type="dxa"/>
          </w:tcPr>
          <w:p w14:paraId="154B1FAA" w14:textId="323895EB" w:rsidR="00D45C36" w:rsidRPr="00D45C36" w:rsidRDefault="00D45C36" w:rsidP="00F90834">
            <w:pPr>
              <w:ind w:firstLine="0"/>
              <w:jc w:val="both"/>
              <w:rPr>
                <w:lang w:val="en-US"/>
              </w:rPr>
            </w:pPr>
            <w:r>
              <w:rPr>
                <w:lang w:val="en-US"/>
              </w:rPr>
              <w:t>128</w:t>
            </w:r>
          </w:p>
        </w:tc>
        <w:tc>
          <w:tcPr>
            <w:tcW w:w="1812" w:type="dxa"/>
          </w:tcPr>
          <w:p w14:paraId="7E0A8356" w14:textId="2517A9F0" w:rsidR="00D45C36" w:rsidRDefault="00D45C36" w:rsidP="00F90834">
            <w:pPr>
              <w:ind w:firstLine="0"/>
              <w:jc w:val="both"/>
              <w:rPr>
                <w:lang w:val="en-US"/>
              </w:rPr>
            </w:pPr>
            <w:r>
              <w:rPr>
                <w:lang w:val="en-US"/>
              </w:rPr>
              <w:t>~22</w:t>
            </w:r>
          </w:p>
        </w:tc>
        <w:tc>
          <w:tcPr>
            <w:tcW w:w="1812" w:type="dxa"/>
          </w:tcPr>
          <w:p w14:paraId="745D7E7D" w14:textId="144AB3AF" w:rsidR="00D45C36" w:rsidRDefault="00D45C36" w:rsidP="00F90834">
            <w:pPr>
              <w:ind w:firstLine="0"/>
              <w:jc w:val="both"/>
              <w:rPr>
                <w:lang w:val="en-US"/>
              </w:rPr>
            </w:pPr>
            <w:r>
              <w:rPr>
                <w:lang w:val="en-US"/>
              </w:rPr>
              <w:t>352</w:t>
            </w:r>
          </w:p>
        </w:tc>
        <w:tc>
          <w:tcPr>
            <w:tcW w:w="1812" w:type="dxa"/>
          </w:tcPr>
          <w:p w14:paraId="41CA722D" w14:textId="77FEF330" w:rsidR="00D45C36" w:rsidRDefault="00D45C36" w:rsidP="00F90834">
            <w:pPr>
              <w:ind w:firstLine="0"/>
              <w:jc w:val="both"/>
              <w:rPr>
                <w:lang w:val="en-US"/>
              </w:rPr>
            </w:pPr>
            <w:r>
              <w:rPr>
                <w:lang w:val="en-US"/>
              </w:rPr>
              <w:t>1.00</w:t>
            </w:r>
          </w:p>
        </w:tc>
      </w:tr>
    </w:tbl>
    <w:p w14:paraId="1643CC7D" w14:textId="77777777" w:rsidR="0057262D" w:rsidRDefault="0057262D" w:rsidP="00F90834">
      <w:pPr>
        <w:jc w:val="both"/>
      </w:pPr>
    </w:p>
    <w:p w14:paraId="6D6A3032" w14:textId="79A3A6D2" w:rsidR="00FA70DD" w:rsidRPr="00FA70DD" w:rsidRDefault="00FA70DD" w:rsidP="00F90834">
      <w:pPr>
        <w:jc w:val="both"/>
      </w:pPr>
      <w:r>
        <w:t xml:space="preserve">Аналіз наведених розрахунків підтверджує початкові гіпотези. </w:t>
      </w:r>
      <w:r>
        <w:rPr>
          <w:rStyle w:val="citation-89"/>
        </w:rPr>
        <w:t>Алгоритм Speck демонструє найвищу швидкодію (7.33 Гбіт/с) завдяки архітектурі, що оптимізована для програмної реалізації</w:t>
      </w:r>
      <w:r>
        <w:t xml:space="preserve">. Алгоритм ASCON-128 показує більшу пропускну здатність (2.75 Гбіт/с) порівняно з еталонним </w:t>
      </w:r>
      <w:r>
        <w:lastRenderedPageBreak/>
        <w:t xml:space="preserve">стандартом AES-128 (2.20 Гбіт/с). </w:t>
      </w:r>
      <w:r>
        <w:rPr>
          <w:rStyle w:val="citation-88"/>
        </w:rPr>
        <w:t>Алгоритм Simon, будучи оптимізованим для апаратної реалізації</w:t>
      </w:r>
      <w:r>
        <w:t xml:space="preserve">, логічно демонструє нижчу програмну пропускну здатність (1.00 Гбіт/с) під час виконання на процесорі загального призначення. </w:t>
      </w:r>
      <w:r>
        <w:rPr>
          <w:rStyle w:val="citation-87"/>
        </w:rPr>
        <w:t>Водночас ультралегкий шифр PRESENT має найнижчу швидкість програмної обробки (0.55 Гбіт/с), оскільки орієнтований на мінімізацію апаратних витрат</w:t>
      </w:r>
      <w:r>
        <w:t xml:space="preserve">. </w:t>
      </w:r>
      <w:r>
        <w:rPr>
          <w:rStyle w:val="citation-86"/>
        </w:rPr>
        <w:t>Ці теоретичні результати є підґрунтям для подальшого практичного тестування розробленої програмної реалізації мовою C++</w:t>
      </w:r>
      <w:r>
        <w:t>.</w:t>
      </w:r>
    </w:p>
    <w:p w14:paraId="3536EC28" w14:textId="77777777" w:rsidR="00E730B8" w:rsidRPr="00E730B8" w:rsidRDefault="00E730B8" w:rsidP="00E730B8">
      <w:pPr>
        <w:jc w:val="both"/>
      </w:pPr>
      <w:r w:rsidRPr="00E730B8">
        <w:t>Крім показників продуктивності, проаналізовано обсяг використовуваної оперативної пам’яті та пам’яті програмного коду, що безпосередньо впливають на енергоспоживання та автономність роботи пристроїв із живленням від акумулятора.</w:t>
      </w:r>
    </w:p>
    <w:p w14:paraId="0B23BD4B" w14:textId="0FAE8527" w:rsidR="00ED6CFC" w:rsidRPr="00ED6CFC" w:rsidRDefault="00ED6CFC" w:rsidP="00C31368">
      <w:pPr>
        <w:jc w:val="both"/>
      </w:pPr>
      <w:r w:rsidRPr="00ED6CFC">
        <w:t>Програмна реалізація обраних алгоритмів розробляється з урахуванням архітектури мобільних систем. Основний криптографічний функціонал планується реалізувати мовою C++ для забезпечення максимальної швидкодії та ефективного керування пам'яттю під час виконання безпосередньо на процесорах загального призначення цільової малоресурсної платформи (смартфонах або планшетах).</w:t>
      </w:r>
    </w:p>
    <w:p w14:paraId="144B6ED2" w14:textId="42B11576" w:rsidR="00522739" w:rsidRPr="00522739" w:rsidRDefault="00ED6CFC" w:rsidP="00A82B4C">
      <w:pPr>
        <w:jc w:val="both"/>
      </w:pPr>
      <w:r w:rsidRPr="00ED6CFC">
        <w:t>Очікувані результати дослідження дозволять підтвердити, що алгоритм ASCON-128 здатен демонструвати вищу енергоефективність при обробці коротких повідомлень порівняно з AES-128, зберігаючи належний рівень криптостійкості. Алгоритм Speck також має показати високу оптимізацію для програмного виконання на процесорах загального призначення, забезпечивши мінімальний час обробки даних. Програмне тестування мовою C++ дасть змогу об'єктивно оцінити витрати ресурсів і довести, що перехід до спеціалізованих алгоритмів малоресурсної криптографії є обґрунтованим кроком для підвищення автономності та безпеки портативних пристроїв.</w:t>
      </w:r>
    </w:p>
    <w:p w14:paraId="0B219214" w14:textId="41BBEF97" w:rsidR="004F0260" w:rsidRDefault="00C16588" w:rsidP="00C16588">
      <w:pPr>
        <w:jc w:val="center"/>
      </w:pPr>
      <w:r>
        <w:t>Список використаних джерел:</w:t>
      </w:r>
    </w:p>
    <w:p w14:paraId="61E34A79" w14:textId="74B5C376" w:rsidR="00291BBD" w:rsidRDefault="00291BBD" w:rsidP="00BC09ED">
      <w:pPr>
        <w:pStyle w:val="a4"/>
        <w:numPr>
          <w:ilvl w:val="0"/>
          <w:numId w:val="6"/>
        </w:numPr>
        <w:ind w:left="567" w:hanging="567"/>
        <w:mirrorIndents/>
        <w:jc w:val="both"/>
      </w:pPr>
      <w:r w:rsidRPr="00291BBD">
        <w:t>Dobraunig C., Eichlseder M., Mendel F., Schläffer M. Ascon v1.2: Lightweight Authenticated Encryption and Hashing. Journal of Cryptology. 2021. Vol. 34, No 3. P. 1-42</w:t>
      </w:r>
      <w:r w:rsidR="00195492" w:rsidRPr="002D5FAA">
        <w:rPr>
          <w:lang w:val="en-US"/>
        </w:rPr>
        <w:t xml:space="preserve">, </w:t>
      </w:r>
      <w:r w:rsidR="00195492">
        <w:rPr>
          <w:lang w:val="en-US"/>
        </w:rPr>
        <w:t>URL</w:t>
      </w:r>
      <w:r w:rsidR="00195492" w:rsidRPr="002D5FAA">
        <w:rPr>
          <w:lang w:val="en-US"/>
        </w:rPr>
        <w:t xml:space="preserve">: </w:t>
      </w:r>
      <w:r w:rsidR="00195492" w:rsidRPr="002D5FAA">
        <w:rPr>
          <w:lang w:val="en-US"/>
        </w:rPr>
        <w:br/>
      </w:r>
      <w:r w:rsidR="008F31ED">
        <w:rPr>
          <w:lang w:val="en-US"/>
        </w:rPr>
        <w:t>ht</w:t>
      </w:r>
      <w:r w:rsidR="008F31ED" w:rsidRPr="008F31ED">
        <w:t>tps://link.springer.com/article/10.1007/s00145-021-09398-9</w:t>
      </w:r>
      <w:r w:rsidR="00EA1A8D" w:rsidRPr="002D5FAA">
        <w:rPr>
          <w:lang w:val="en-US"/>
        </w:rPr>
        <w:t xml:space="preserve"> </w:t>
      </w:r>
      <w:r w:rsidR="008F31ED">
        <w:t xml:space="preserve"> (Дата звернення 25.02.2026).</w:t>
      </w:r>
    </w:p>
    <w:p w14:paraId="1C9E631D" w14:textId="1D8925A2" w:rsidR="00291BBD" w:rsidRDefault="00291BBD" w:rsidP="00BC09ED">
      <w:pPr>
        <w:pStyle w:val="a4"/>
        <w:numPr>
          <w:ilvl w:val="0"/>
          <w:numId w:val="6"/>
        </w:numPr>
        <w:ind w:left="567" w:hanging="567"/>
        <w:mirrorIndents/>
        <w:jc w:val="both"/>
      </w:pPr>
      <w:r>
        <w:t>Горбенко І. Д., Горбенко Ю. І. Прикладна криптологія : навч. посіб. Харків, 2012. 879 с</w:t>
      </w:r>
      <w:r w:rsidR="00EA1A8D" w:rsidRPr="00E442AC">
        <w:rPr>
          <w:lang w:val="ru-RU"/>
        </w:rPr>
        <w:t xml:space="preserve">, </w:t>
      </w:r>
      <w:r w:rsidR="00EA1A8D">
        <w:rPr>
          <w:lang w:val="en-US"/>
        </w:rPr>
        <w:t>URL</w:t>
      </w:r>
      <w:r w:rsidR="00EA1A8D" w:rsidRPr="00E442AC">
        <w:rPr>
          <w:lang w:val="ru-RU"/>
        </w:rPr>
        <w:t xml:space="preserve">: </w:t>
      </w:r>
      <w:r w:rsidR="00EA1A8D">
        <w:rPr>
          <w:lang w:val="en-US"/>
        </w:rPr>
        <w:t>h</w:t>
      </w:r>
      <w:r w:rsidR="00EA1A8D" w:rsidRPr="00EA1A8D">
        <w:rPr>
          <w:lang w:val="en-US"/>
        </w:rPr>
        <w:t>ttps</w:t>
      </w:r>
      <w:r w:rsidR="00EA1A8D" w:rsidRPr="00E442AC">
        <w:rPr>
          <w:lang w:val="ru-RU"/>
        </w:rPr>
        <w:t>://</w:t>
      </w:r>
      <w:r w:rsidR="00EA1A8D" w:rsidRPr="00EA1A8D">
        <w:rPr>
          <w:lang w:val="en-US"/>
        </w:rPr>
        <w:t>duikt</w:t>
      </w:r>
      <w:r w:rsidR="00EA1A8D" w:rsidRPr="00E442AC">
        <w:rPr>
          <w:lang w:val="ru-RU"/>
        </w:rPr>
        <w:t>.</w:t>
      </w:r>
      <w:r w:rsidR="00EA1A8D" w:rsidRPr="00EA1A8D">
        <w:rPr>
          <w:lang w:val="en-US"/>
        </w:rPr>
        <w:t>edu</w:t>
      </w:r>
      <w:r w:rsidR="00EA1A8D" w:rsidRPr="00E442AC">
        <w:rPr>
          <w:lang w:val="ru-RU"/>
        </w:rPr>
        <w:t>.</w:t>
      </w:r>
      <w:r w:rsidR="00EA1A8D" w:rsidRPr="00EA1A8D">
        <w:rPr>
          <w:lang w:val="en-US"/>
        </w:rPr>
        <w:t>ua</w:t>
      </w:r>
      <w:r w:rsidR="00EA1A8D" w:rsidRPr="00E442AC">
        <w:rPr>
          <w:lang w:val="ru-RU"/>
        </w:rPr>
        <w:t>/</w:t>
      </w:r>
      <w:r w:rsidR="00EA1A8D" w:rsidRPr="00EA1A8D">
        <w:rPr>
          <w:lang w:val="en-US"/>
        </w:rPr>
        <w:t>ua</w:t>
      </w:r>
      <w:r w:rsidR="00EA1A8D" w:rsidRPr="00E442AC">
        <w:rPr>
          <w:lang w:val="ru-RU"/>
        </w:rPr>
        <w:t>/</w:t>
      </w:r>
      <w:r w:rsidR="00EA1A8D" w:rsidRPr="00EA1A8D">
        <w:rPr>
          <w:lang w:val="en-US"/>
        </w:rPr>
        <w:t>lib</w:t>
      </w:r>
      <w:r w:rsidR="00EA1A8D" w:rsidRPr="00E442AC">
        <w:rPr>
          <w:lang w:val="ru-RU"/>
        </w:rPr>
        <w:t>/1/</w:t>
      </w:r>
      <w:r w:rsidR="00EA1A8D" w:rsidRPr="00EA1A8D">
        <w:rPr>
          <w:lang w:val="en-US"/>
        </w:rPr>
        <w:t>category</w:t>
      </w:r>
      <w:r w:rsidR="00EA1A8D" w:rsidRPr="00E442AC">
        <w:rPr>
          <w:lang w:val="ru-RU"/>
        </w:rPr>
        <w:t>/2132/</w:t>
      </w:r>
      <w:r w:rsidR="00EA1A8D" w:rsidRPr="00EA1A8D">
        <w:rPr>
          <w:lang w:val="en-US"/>
        </w:rPr>
        <w:t>view</w:t>
      </w:r>
      <w:r w:rsidR="00EA1A8D" w:rsidRPr="00E442AC">
        <w:rPr>
          <w:lang w:val="ru-RU"/>
        </w:rPr>
        <w:t>/1886</w:t>
      </w:r>
      <w:r w:rsidR="00154F26" w:rsidRPr="00E442AC">
        <w:rPr>
          <w:lang w:val="ru-RU"/>
        </w:rPr>
        <w:t xml:space="preserve"> (</w:t>
      </w:r>
      <w:r w:rsidR="00154F26">
        <w:t>Дата звернення 25.02.2026)</w:t>
      </w:r>
    </w:p>
    <w:p w14:paraId="1E3395FF" w14:textId="45DEEE0E" w:rsidR="00414808" w:rsidRPr="007A748C" w:rsidRDefault="00291BBD" w:rsidP="004044E0">
      <w:pPr>
        <w:pStyle w:val="a4"/>
        <w:numPr>
          <w:ilvl w:val="0"/>
          <w:numId w:val="6"/>
        </w:numPr>
        <w:ind w:left="567" w:hanging="567"/>
        <w:mirrorIndents/>
        <w:jc w:val="both"/>
      </w:pPr>
      <w:r>
        <w:t>Beaulieu R., Shors D., Smith J., Treatman-Clark S., Weeks B., Wingers L. The SIMON and SPECK lightweight block ciphers. Proceedings of the 52nd Annual Design Automation Conference. San Francisco, 2015. P. 1-6</w:t>
      </w:r>
      <w:r w:rsidR="00E442AC">
        <w:t xml:space="preserve">, </w:t>
      </w:r>
      <w:r w:rsidR="00E442AC">
        <w:rPr>
          <w:lang w:val="en-US"/>
        </w:rPr>
        <w:t>URL</w:t>
      </w:r>
      <w:r w:rsidR="00E442AC" w:rsidRPr="002A35A4">
        <w:rPr>
          <w:lang w:val="ru-RU"/>
        </w:rPr>
        <w:t>:</w:t>
      </w:r>
      <w:r w:rsidR="00E442AC" w:rsidRPr="00E442AC">
        <w:t xml:space="preserve"> </w:t>
      </w:r>
      <w:r w:rsidR="00F0272D">
        <w:rPr>
          <w:lang w:val="en-US"/>
        </w:rPr>
        <w:t>h</w:t>
      </w:r>
      <w:r w:rsidR="00F0272D" w:rsidRPr="00F0272D">
        <w:rPr>
          <w:lang w:val="en-US"/>
        </w:rPr>
        <w:t>ttps://dl.acm.org/doi/10.1145/2744769.2747946</w:t>
      </w:r>
      <w:r w:rsidR="00F07878">
        <w:rPr>
          <w:lang w:val="ru-RU"/>
        </w:rPr>
        <w:t>.</w:t>
      </w:r>
      <w:r w:rsidR="002A35A4" w:rsidRPr="002A35A4">
        <w:rPr>
          <w:lang w:val="ru-RU"/>
        </w:rPr>
        <w:t xml:space="preserve"> </w:t>
      </w:r>
      <w:r w:rsidR="002A35A4">
        <w:t>(Дата звернення 25.02.2026)</w:t>
      </w:r>
    </w:p>
    <w:sectPr w:rsidR="00414808" w:rsidRPr="007A748C" w:rsidSect="00DD23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63E6" w14:textId="77777777" w:rsidR="00C92BC4" w:rsidRDefault="00C92BC4" w:rsidP="00195492">
      <w:r>
        <w:separator/>
      </w:r>
    </w:p>
  </w:endnote>
  <w:endnote w:type="continuationSeparator" w:id="0">
    <w:p w14:paraId="747EB192" w14:textId="77777777" w:rsidR="00C92BC4" w:rsidRDefault="00C92BC4" w:rsidP="0019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D498" w14:textId="77777777" w:rsidR="00C92BC4" w:rsidRDefault="00C92BC4" w:rsidP="00195492">
      <w:r>
        <w:separator/>
      </w:r>
    </w:p>
  </w:footnote>
  <w:footnote w:type="continuationSeparator" w:id="0">
    <w:p w14:paraId="597D30AD" w14:textId="77777777" w:rsidR="00C92BC4" w:rsidRDefault="00C92BC4" w:rsidP="0019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25B3"/>
    <w:multiLevelType w:val="hybridMultilevel"/>
    <w:tmpl w:val="EAD21D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9963EA"/>
    <w:multiLevelType w:val="hybridMultilevel"/>
    <w:tmpl w:val="9748500C"/>
    <w:lvl w:ilvl="0" w:tplc="5B4245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1AA6169"/>
    <w:multiLevelType w:val="hybridMultilevel"/>
    <w:tmpl w:val="E5B27FC8"/>
    <w:lvl w:ilvl="0" w:tplc="E1B81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2056BE8"/>
    <w:multiLevelType w:val="hybridMultilevel"/>
    <w:tmpl w:val="BF584AE8"/>
    <w:lvl w:ilvl="0" w:tplc="E1B81584">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B983BB8"/>
    <w:multiLevelType w:val="multilevel"/>
    <w:tmpl w:val="A6B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B45FDC"/>
    <w:multiLevelType w:val="hybridMultilevel"/>
    <w:tmpl w:val="8DEACF90"/>
    <w:lvl w:ilvl="0" w:tplc="2000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27"/>
    <w:rsid w:val="00034748"/>
    <w:rsid w:val="00043045"/>
    <w:rsid w:val="00071DFE"/>
    <w:rsid w:val="00096378"/>
    <w:rsid w:val="00154F26"/>
    <w:rsid w:val="00195492"/>
    <w:rsid w:val="00200D7A"/>
    <w:rsid w:val="0020172C"/>
    <w:rsid w:val="00256888"/>
    <w:rsid w:val="0026171E"/>
    <w:rsid w:val="0027147F"/>
    <w:rsid w:val="00291BBD"/>
    <w:rsid w:val="002A35A4"/>
    <w:rsid w:val="002D5FAA"/>
    <w:rsid w:val="002D6CBD"/>
    <w:rsid w:val="002E3AC8"/>
    <w:rsid w:val="0039738B"/>
    <w:rsid w:val="003F3E65"/>
    <w:rsid w:val="004044E0"/>
    <w:rsid w:val="00414808"/>
    <w:rsid w:val="00426804"/>
    <w:rsid w:val="004E0321"/>
    <w:rsid w:val="004E0ABB"/>
    <w:rsid w:val="004E26BA"/>
    <w:rsid w:val="004F0260"/>
    <w:rsid w:val="00522739"/>
    <w:rsid w:val="00522C53"/>
    <w:rsid w:val="00544C46"/>
    <w:rsid w:val="005608BF"/>
    <w:rsid w:val="00560E20"/>
    <w:rsid w:val="00563A4D"/>
    <w:rsid w:val="0057262D"/>
    <w:rsid w:val="005A123E"/>
    <w:rsid w:val="0065022E"/>
    <w:rsid w:val="006A6BA3"/>
    <w:rsid w:val="006F19B6"/>
    <w:rsid w:val="006F4794"/>
    <w:rsid w:val="007034B2"/>
    <w:rsid w:val="00774E29"/>
    <w:rsid w:val="007935FF"/>
    <w:rsid w:val="00795DCE"/>
    <w:rsid w:val="007977D9"/>
    <w:rsid w:val="007A748C"/>
    <w:rsid w:val="0080372C"/>
    <w:rsid w:val="008056B9"/>
    <w:rsid w:val="008F31ED"/>
    <w:rsid w:val="009142F8"/>
    <w:rsid w:val="009204D7"/>
    <w:rsid w:val="00925FE8"/>
    <w:rsid w:val="00950F46"/>
    <w:rsid w:val="00951614"/>
    <w:rsid w:val="00977F40"/>
    <w:rsid w:val="00987F83"/>
    <w:rsid w:val="0099281D"/>
    <w:rsid w:val="00A1005D"/>
    <w:rsid w:val="00A82B4C"/>
    <w:rsid w:val="00AA6D90"/>
    <w:rsid w:val="00B465CE"/>
    <w:rsid w:val="00BA33A6"/>
    <w:rsid w:val="00BA5D7A"/>
    <w:rsid w:val="00BB6CBF"/>
    <w:rsid w:val="00BC09ED"/>
    <w:rsid w:val="00BE2ECA"/>
    <w:rsid w:val="00C16588"/>
    <w:rsid w:val="00C20CB0"/>
    <w:rsid w:val="00C22634"/>
    <w:rsid w:val="00C31368"/>
    <w:rsid w:val="00C92BC4"/>
    <w:rsid w:val="00CE0100"/>
    <w:rsid w:val="00CE33D9"/>
    <w:rsid w:val="00D45C36"/>
    <w:rsid w:val="00D50E44"/>
    <w:rsid w:val="00DC3270"/>
    <w:rsid w:val="00DD2327"/>
    <w:rsid w:val="00DD2D62"/>
    <w:rsid w:val="00E22F0F"/>
    <w:rsid w:val="00E42AA2"/>
    <w:rsid w:val="00E442AC"/>
    <w:rsid w:val="00E730B8"/>
    <w:rsid w:val="00E82434"/>
    <w:rsid w:val="00EA1A8D"/>
    <w:rsid w:val="00ED6CFC"/>
    <w:rsid w:val="00EF305B"/>
    <w:rsid w:val="00F0272D"/>
    <w:rsid w:val="00F07878"/>
    <w:rsid w:val="00F12503"/>
    <w:rsid w:val="00F51633"/>
    <w:rsid w:val="00F90834"/>
    <w:rsid w:val="00FA70DD"/>
    <w:rsid w:val="00FB429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B425"/>
  <w15:chartTrackingRefBased/>
  <w15:docId w15:val="{6131A6B3-2518-4BA2-9C61-A1EFA5FA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uk-UA"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614"/>
    <w:pPr>
      <w:spacing w:before="100" w:beforeAutospacing="1" w:after="100" w:afterAutospacing="1"/>
      <w:ind w:firstLine="0"/>
    </w:pPr>
    <w:rPr>
      <w:rFonts w:eastAsia="Times New Roman"/>
      <w:sz w:val="24"/>
      <w:szCs w:val="24"/>
      <w:lang w:eastAsia="uk-UA"/>
    </w:rPr>
  </w:style>
  <w:style w:type="paragraph" w:styleId="a4">
    <w:name w:val="List Paragraph"/>
    <w:basedOn w:val="a"/>
    <w:uiPriority w:val="34"/>
    <w:qFormat/>
    <w:rsid w:val="004F0260"/>
    <w:pPr>
      <w:ind w:left="720"/>
      <w:contextualSpacing/>
    </w:pPr>
  </w:style>
  <w:style w:type="character" w:styleId="a5">
    <w:name w:val="Placeholder Text"/>
    <w:basedOn w:val="a0"/>
    <w:uiPriority w:val="99"/>
    <w:semiHidden/>
    <w:rsid w:val="00522739"/>
    <w:rPr>
      <w:color w:val="808080"/>
    </w:rPr>
  </w:style>
  <w:style w:type="character" w:customStyle="1" w:styleId="math-inline">
    <w:name w:val="math-inline"/>
    <w:basedOn w:val="a0"/>
    <w:rsid w:val="007935FF"/>
  </w:style>
  <w:style w:type="character" w:styleId="a6">
    <w:name w:val="Hyperlink"/>
    <w:basedOn w:val="a0"/>
    <w:uiPriority w:val="99"/>
    <w:semiHidden/>
    <w:unhideWhenUsed/>
    <w:rsid w:val="00195492"/>
    <w:rPr>
      <w:color w:val="0000FF"/>
      <w:u w:val="single"/>
    </w:rPr>
  </w:style>
  <w:style w:type="paragraph" w:styleId="a7">
    <w:name w:val="footnote text"/>
    <w:basedOn w:val="a"/>
    <w:link w:val="a8"/>
    <w:uiPriority w:val="99"/>
    <w:semiHidden/>
    <w:unhideWhenUsed/>
    <w:rsid w:val="00195492"/>
    <w:rPr>
      <w:sz w:val="20"/>
      <w:szCs w:val="20"/>
    </w:rPr>
  </w:style>
  <w:style w:type="character" w:customStyle="1" w:styleId="a8">
    <w:name w:val="Текст сноски Знак"/>
    <w:basedOn w:val="a0"/>
    <w:link w:val="a7"/>
    <w:uiPriority w:val="99"/>
    <w:semiHidden/>
    <w:rsid w:val="00195492"/>
    <w:rPr>
      <w:sz w:val="20"/>
      <w:szCs w:val="20"/>
    </w:rPr>
  </w:style>
  <w:style w:type="character" w:styleId="a9">
    <w:name w:val="footnote reference"/>
    <w:basedOn w:val="a0"/>
    <w:uiPriority w:val="99"/>
    <w:semiHidden/>
    <w:unhideWhenUsed/>
    <w:rsid w:val="00195492"/>
    <w:rPr>
      <w:vertAlign w:val="superscript"/>
    </w:rPr>
  </w:style>
  <w:style w:type="character" w:styleId="aa">
    <w:name w:val="FollowedHyperlink"/>
    <w:basedOn w:val="a0"/>
    <w:uiPriority w:val="99"/>
    <w:semiHidden/>
    <w:unhideWhenUsed/>
    <w:rsid w:val="00096378"/>
    <w:rPr>
      <w:color w:val="954F72" w:themeColor="followedHyperlink"/>
      <w:u w:val="single"/>
    </w:rPr>
  </w:style>
  <w:style w:type="table" w:styleId="ab">
    <w:name w:val="Table Grid"/>
    <w:basedOn w:val="a1"/>
    <w:uiPriority w:val="39"/>
    <w:rsid w:val="00544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89">
    <w:name w:val="citation-89"/>
    <w:basedOn w:val="a0"/>
    <w:rsid w:val="00FA70DD"/>
  </w:style>
  <w:style w:type="character" w:customStyle="1" w:styleId="citation-88">
    <w:name w:val="citation-88"/>
    <w:basedOn w:val="a0"/>
    <w:rsid w:val="00FA70DD"/>
  </w:style>
  <w:style w:type="character" w:customStyle="1" w:styleId="citation-87">
    <w:name w:val="citation-87"/>
    <w:basedOn w:val="a0"/>
    <w:rsid w:val="00FA70DD"/>
  </w:style>
  <w:style w:type="character" w:customStyle="1" w:styleId="citation-86">
    <w:name w:val="citation-86"/>
    <w:basedOn w:val="a0"/>
    <w:rsid w:val="00FA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715">
      <w:bodyDiv w:val="1"/>
      <w:marLeft w:val="0"/>
      <w:marRight w:val="0"/>
      <w:marTop w:val="0"/>
      <w:marBottom w:val="0"/>
      <w:divBdr>
        <w:top w:val="none" w:sz="0" w:space="0" w:color="auto"/>
        <w:left w:val="none" w:sz="0" w:space="0" w:color="auto"/>
        <w:bottom w:val="none" w:sz="0" w:space="0" w:color="auto"/>
        <w:right w:val="none" w:sz="0" w:space="0" w:color="auto"/>
      </w:divBdr>
    </w:div>
    <w:div w:id="287592587">
      <w:bodyDiv w:val="1"/>
      <w:marLeft w:val="0"/>
      <w:marRight w:val="0"/>
      <w:marTop w:val="0"/>
      <w:marBottom w:val="0"/>
      <w:divBdr>
        <w:top w:val="none" w:sz="0" w:space="0" w:color="auto"/>
        <w:left w:val="none" w:sz="0" w:space="0" w:color="auto"/>
        <w:bottom w:val="none" w:sz="0" w:space="0" w:color="auto"/>
        <w:right w:val="none" w:sz="0" w:space="0" w:color="auto"/>
      </w:divBdr>
    </w:div>
    <w:div w:id="311837077">
      <w:bodyDiv w:val="1"/>
      <w:marLeft w:val="0"/>
      <w:marRight w:val="0"/>
      <w:marTop w:val="0"/>
      <w:marBottom w:val="0"/>
      <w:divBdr>
        <w:top w:val="none" w:sz="0" w:space="0" w:color="auto"/>
        <w:left w:val="none" w:sz="0" w:space="0" w:color="auto"/>
        <w:bottom w:val="none" w:sz="0" w:space="0" w:color="auto"/>
        <w:right w:val="none" w:sz="0" w:space="0" w:color="auto"/>
      </w:divBdr>
    </w:div>
    <w:div w:id="340817320">
      <w:bodyDiv w:val="1"/>
      <w:marLeft w:val="0"/>
      <w:marRight w:val="0"/>
      <w:marTop w:val="0"/>
      <w:marBottom w:val="0"/>
      <w:divBdr>
        <w:top w:val="none" w:sz="0" w:space="0" w:color="auto"/>
        <w:left w:val="none" w:sz="0" w:space="0" w:color="auto"/>
        <w:bottom w:val="none" w:sz="0" w:space="0" w:color="auto"/>
        <w:right w:val="none" w:sz="0" w:space="0" w:color="auto"/>
      </w:divBdr>
    </w:div>
    <w:div w:id="948775035">
      <w:bodyDiv w:val="1"/>
      <w:marLeft w:val="0"/>
      <w:marRight w:val="0"/>
      <w:marTop w:val="0"/>
      <w:marBottom w:val="0"/>
      <w:divBdr>
        <w:top w:val="none" w:sz="0" w:space="0" w:color="auto"/>
        <w:left w:val="none" w:sz="0" w:space="0" w:color="auto"/>
        <w:bottom w:val="none" w:sz="0" w:space="0" w:color="auto"/>
        <w:right w:val="none" w:sz="0" w:space="0" w:color="auto"/>
      </w:divBdr>
    </w:div>
    <w:div w:id="1051349730">
      <w:bodyDiv w:val="1"/>
      <w:marLeft w:val="0"/>
      <w:marRight w:val="0"/>
      <w:marTop w:val="0"/>
      <w:marBottom w:val="0"/>
      <w:divBdr>
        <w:top w:val="none" w:sz="0" w:space="0" w:color="auto"/>
        <w:left w:val="none" w:sz="0" w:space="0" w:color="auto"/>
        <w:bottom w:val="none" w:sz="0" w:space="0" w:color="auto"/>
        <w:right w:val="none" w:sz="0" w:space="0" w:color="auto"/>
      </w:divBdr>
    </w:div>
    <w:div w:id="1178957747">
      <w:bodyDiv w:val="1"/>
      <w:marLeft w:val="0"/>
      <w:marRight w:val="0"/>
      <w:marTop w:val="0"/>
      <w:marBottom w:val="0"/>
      <w:divBdr>
        <w:top w:val="none" w:sz="0" w:space="0" w:color="auto"/>
        <w:left w:val="none" w:sz="0" w:space="0" w:color="auto"/>
        <w:bottom w:val="none" w:sz="0" w:space="0" w:color="auto"/>
        <w:right w:val="none" w:sz="0" w:space="0" w:color="auto"/>
      </w:divBdr>
    </w:div>
    <w:div w:id="1273442725">
      <w:bodyDiv w:val="1"/>
      <w:marLeft w:val="0"/>
      <w:marRight w:val="0"/>
      <w:marTop w:val="0"/>
      <w:marBottom w:val="0"/>
      <w:divBdr>
        <w:top w:val="none" w:sz="0" w:space="0" w:color="auto"/>
        <w:left w:val="none" w:sz="0" w:space="0" w:color="auto"/>
        <w:bottom w:val="none" w:sz="0" w:space="0" w:color="auto"/>
        <w:right w:val="none" w:sz="0" w:space="0" w:color="auto"/>
      </w:divBdr>
    </w:div>
    <w:div w:id="1646088508">
      <w:bodyDiv w:val="1"/>
      <w:marLeft w:val="0"/>
      <w:marRight w:val="0"/>
      <w:marTop w:val="0"/>
      <w:marBottom w:val="0"/>
      <w:divBdr>
        <w:top w:val="none" w:sz="0" w:space="0" w:color="auto"/>
        <w:left w:val="none" w:sz="0" w:space="0" w:color="auto"/>
        <w:bottom w:val="none" w:sz="0" w:space="0" w:color="auto"/>
        <w:right w:val="none" w:sz="0" w:space="0" w:color="auto"/>
      </w:divBdr>
    </w:div>
    <w:div w:id="2089840249">
      <w:bodyDiv w:val="1"/>
      <w:marLeft w:val="0"/>
      <w:marRight w:val="0"/>
      <w:marTop w:val="0"/>
      <w:marBottom w:val="0"/>
      <w:divBdr>
        <w:top w:val="none" w:sz="0" w:space="0" w:color="auto"/>
        <w:left w:val="none" w:sz="0" w:space="0" w:color="auto"/>
        <w:bottom w:val="none" w:sz="0" w:space="0" w:color="auto"/>
        <w:right w:val="none" w:sz="0" w:space="0" w:color="auto"/>
      </w:divBdr>
    </w:div>
    <w:div w:id="2124156379">
      <w:bodyDiv w:val="1"/>
      <w:marLeft w:val="0"/>
      <w:marRight w:val="0"/>
      <w:marTop w:val="0"/>
      <w:marBottom w:val="0"/>
      <w:divBdr>
        <w:top w:val="none" w:sz="0" w:space="0" w:color="auto"/>
        <w:left w:val="none" w:sz="0" w:space="0" w:color="auto"/>
        <w:bottom w:val="none" w:sz="0" w:space="0" w:color="auto"/>
        <w:right w:val="none" w:sz="0" w:space="0" w:color="auto"/>
      </w:divBdr>
      <w:divsChild>
        <w:div w:id="952588077">
          <w:marLeft w:val="0"/>
          <w:marRight w:val="0"/>
          <w:marTop w:val="0"/>
          <w:marBottom w:val="0"/>
          <w:divBdr>
            <w:top w:val="none" w:sz="0" w:space="0" w:color="auto"/>
            <w:left w:val="none" w:sz="0" w:space="0" w:color="auto"/>
            <w:bottom w:val="none" w:sz="0" w:space="0" w:color="auto"/>
            <w:right w:val="none" w:sz="0" w:space="0" w:color="auto"/>
          </w:divBdr>
          <w:divsChild>
            <w:div w:id="623541088">
              <w:marLeft w:val="0"/>
              <w:marRight w:val="0"/>
              <w:marTop w:val="0"/>
              <w:marBottom w:val="0"/>
              <w:divBdr>
                <w:top w:val="none" w:sz="0" w:space="0" w:color="auto"/>
                <w:left w:val="none" w:sz="0" w:space="0" w:color="auto"/>
                <w:bottom w:val="none" w:sz="0" w:space="0" w:color="auto"/>
                <w:right w:val="none" w:sz="0" w:space="0" w:color="auto"/>
              </w:divBdr>
              <w:divsChild>
                <w:div w:id="1355688647">
                  <w:marLeft w:val="0"/>
                  <w:marRight w:val="0"/>
                  <w:marTop w:val="0"/>
                  <w:marBottom w:val="0"/>
                  <w:divBdr>
                    <w:top w:val="none" w:sz="0" w:space="0" w:color="auto"/>
                    <w:left w:val="none" w:sz="0" w:space="0" w:color="auto"/>
                    <w:bottom w:val="none" w:sz="0" w:space="0" w:color="auto"/>
                    <w:right w:val="none" w:sz="0" w:space="0" w:color="auto"/>
                  </w:divBdr>
                  <w:divsChild>
                    <w:div w:id="1064648223">
                      <w:marLeft w:val="0"/>
                      <w:marRight w:val="0"/>
                      <w:marTop w:val="0"/>
                      <w:marBottom w:val="0"/>
                      <w:divBdr>
                        <w:top w:val="none" w:sz="0" w:space="0" w:color="auto"/>
                        <w:left w:val="none" w:sz="0" w:space="0" w:color="auto"/>
                        <w:bottom w:val="none" w:sz="0" w:space="0" w:color="auto"/>
                        <w:right w:val="none" w:sz="0" w:space="0" w:color="auto"/>
                      </w:divBdr>
                      <w:divsChild>
                        <w:div w:id="1165776483">
                          <w:marLeft w:val="0"/>
                          <w:marRight w:val="0"/>
                          <w:marTop w:val="0"/>
                          <w:marBottom w:val="0"/>
                          <w:divBdr>
                            <w:top w:val="none" w:sz="0" w:space="0" w:color="auto"/>
                            <w:left w:val="none" w:sz="0" w:space="0" w:color="auto"/>
                            <w:bottom w:val="none" w:sz="0" w:space="0" w:color="auto"/>
                            <w:right w:val="none" w:sz="0" w:space="0" w:color="auto"/>
                          </w:divBdr>
                          <w:divsChild>
                            <w:div w:id="10749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Dob21</b:Tag>
    <b:SourceType>JournalArticle</b:SourceType>
    <b:Guid>{5554B8F6-9932-4650-8F4F-C7D26465CFC9}</b:Guid>
    <b:Title>Ascon v1.2: Lightweight Authenticated Encryption and Hashing.</b:Title>
    <b:Year>2021</b:Year>
    <b:Author>
      <b:Author>
        <b:NameList>
          <b:Person>
            <b:Last>Dobraunig C.</b:Last>
            <b:First>Eichlseder</b:First>
            <b:Middle>M., Mendel F., Schlaffer M.</b:Middle>
          </b:Person>
        </b:NameList>
      </b:Author>
    </b:Author>
    <b:JournalName>Journal of Cryptology</b:JournalName>
    <b:Pages>1-42</b:Pages>
    <b:URL>https://link.springer.com/article/10.1007/s00145-021-09398-9</b:URL>
    <b:RefOrder>1</b:RefOrder>
  </b:Source>
</b:Sources>
</file>

<file path=customXml/itemProps1.xml><?xml version="1.0" encoding="utf-8"?>
<ds:datastoreItem xmlns:ds="http://schemas.openxmlformats.org/officeDocument/2006/customXml" ds:itemID="{326D5059-FF8A-43F8-8450-C428AB17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4315</Words>
  <Characters>2460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Орлова</dc:creator>
  <cp:keywords/>
  <dc:description/>
  <cp:lastModifiedBy>Анна Орлова</cp:lastModifiedBy>
  <cp:revision>44</cp:revision>
  <cp:lastPrinted>2026-02-25T17:57:00Z</cp:lastPrinted>
  <dcterms:created xsi:type="dcterms:W3CDTF">2026-02-25T17:39:00Z</dcterms:created>
  <dcterms:modified xsi:type="dcterms:W3CDTF">2026-03-04T14:21:00Z</dcterms:modified>
</cp:coreProperties>
</file>